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F1" w:rsidRPr="00392B55" w:rsidRDefault="00FE2CF1" w:rsidP="00D208B2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b/>
          <w:bCs/>
          <w:sz w:val="28"/>
          <w:szCs w:val="28"/>
          <w:lang w:bidi="ar-EG"/>
        </w:rPr>
        <w:t xml:space="preserve">ANNUAL </w:t>
      </w:r>
      <w:r w:rsidR="00D208B2" w:rsidRPr="00D208B2">
        <w:rPr>
          <w:b/>
          <w:bCs/>
          <w:sz w:val="28"/>
          <w:szCs w:val="28"/>
          <w:lang w:bidi="ar-EG"/>
        </w:rPr>
        <w:t>PERSONNEL COMMITTEE</w:t>
      </w:r>
      <w:r w:rsidR="00D208B2">
        <w:rPr>
          <w:b/>
          <w:bCs/>
          <w:sz w:val="28"/>
          <w:szCs w:val="28"/>
          <w:lang w:bidi="ar-EG"/>
        </w:rPr>
        <w:t xml:space="preserve">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FE2CF1" w:rsidRPr="00D51FF8" w:rsidRDefault="00FE2CF1" w:rsidP="00977C8E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Default="00D208B2" w:rsidP="00B82E08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</w:t>
            </w:r>
            <w:r w:rsidR="00B82E08">
              <w:rPr>
                <w:rFonts w:ascii="Calibri" w:hAnsi="Calibri" w:cs="Calibri"/>
                <w:bCs/>
              </w:rPr>
              <w:t xml:space="preserve"> </w:t>
            </w:r>
          </w:p>
          <w:p w:rsidR="00FE2CF1" w:rsidRDefault="00FE2CF1" w:rsidP="007B4B6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FE2CF1" w:rsidTr="007B4B6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F1" w:rsidRPr="002946AE" w:rsidRDefault="00FE2CF1" w:rsidP="007B4B6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FE2CF1" w:rsidRPr="002946AE" w:rsidRDefault="00FE2CF1" w:rsidP="007B4B6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FE2CF1" w:rsidRPr="00392B55" w:rsidRDefault="00FE2CF1" w:rsidP="00FE2CF1">
      <w:pPr>
        <w:rPr>
          <w:rFonts w:ascii="Calibri" w:hAnsi="Calibri"/>
          <w:lang w:bidi="ar-EG"/>
        </w:rPr>
      </w:pPr>
    </w:p>
    <w:p w:rsidR="00FE2CF1" w:rsidRPr="00392B55" w:rsidRDefault="00FE2CF1" w:rsidP="00042A73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="00D208B2">
        <w:rPr>
          <w:rFonts w:ascii="Calibri" w:hAnsi="Calibri" w:cs="Arial"/>
          <w:b/>
          <w:bCs/>
          <w:lang w:bidi="ar-EG"/>
        </w:rPr>
        <w:t>personnel collection data</w:t>
      </w:r>
      <w:r>
        <w:rPr>
          <w:rFonts w:ascii="Calibri" w:hAnsi="Calibri" w:cs="Arial"/>
          <w:b/>
          <w:bCs/>
          <w:lang w:bidi="ar-EG"/>
        </w:rPr>
        <w:t xml:space="preserve"> </w:t>
      </w:r>
    </w:p>
    <w:p w:rsidR="00FE2CF1" w:rsidRDefault="00FE2CF1" w:rsidP="00FE2CF1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416"/>
        <w:gridCol w:w="860"/>
        <w:gridCol w:w="1025"/>
      </w:tblGrid>
      <w:tr w:rsidR="00D208B2" w:rsidRPr="00642D7C" w:rsidTr="00D208B2">
        <w:tc>
          <w:tcPr>
            <w:tcW w:w="6416" w:type="dxa"/>
            <w:vMerge w:val="restart"/>
          </w:tcPr>
          <w:p w:rsidR="00D208B2" w:rsidRPr="00642D7C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Demonstrators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Pr="00642D7C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 xml:space="preserve">umber of </w:t>
            </w:r>
            <w:r>
              <w:rPr>
                <w:rFonts w:ascii="Calibri" w:hAnsi="Calibri" w:cs="Arial"/>
                <w:lang w:bidi="ar-EG"/>
              </w:rPr>
              <w:t xml:space="preserve">Lecturers </w:t>
            </w:r>
            <w:r w:rsidRPr="00642D7C">
              <w:rPr>
                <w:rFonts w:ascii="Calibri" w:hAnsi="Calibri" w:cs="Arial"/>
                <w:lang w:bidi="ar-EG"/>
              </w:rPr>
              <w:t xml:space="preserve">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Assistant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Associate 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Professors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technicians  </w:t>
            </w: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 w:val="restart"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N</w:t>
            </w:r>
            <w:r w:rsidRPr="00642D7C">
              <w:rPr>
                <w:rFonts w:ascii="Calibri" w:hAnsi="Calibri" w:cs="Arial"/>
                <w:lang w:bidi="ar-EG"/>
              </w:rPr>
              <w:t>umber of</w:t>
            </w:r>
            <w:r>
              <w:rPr>
                <w:rFonts w:ascii="Calibri" w:hAnsi="Calibri" w:cs="Arial"/>
                <w:lang w:bidi="ar-EG"/>
              </w:rPr>
              <w:t xml:space="preserve"> </w:t>
            </w:r>
            <w:r w:rsidRPr="00D208B2">
              <w:rPr>
                <w:rFonts w:ascii="Calibri" w:hAnsi="Calibri" w:cs="Arial"/>
                <w:lang w:bidi="ar-EG"/>
              </w:rPr>
              <w:t>Administrators</w:t>
            </w:r>
            <w:r>
              <w:rPr>
                <w:rFonts w:ascii="Calibri" w:hAnsi="Calibri" w:cs="Arial"/>
                <w:lang w:bidi="ar-EG"/>
              </w:rPr>
              <w:t xml:space="preserve">  </w:t>
            </w: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B82E08" w:rsidRPr="00B82E08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D208B2" w:rsidRPr="00642D7C" w:rsidTr="00D208B2">
        <w:tc>
          <w:tcPr>
            <w:tcW w:w="6416" w:type="dxa"/>
            <w:vMerge/>
          </w:tcPr>
          <w:p w:rsidR="00D208B2" w:rsidRDefault="00D208B2" w:rsidP="00D208B2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D208B2" w:rsidRPr="00642D7C" w:rsidRDefault="00D208B2" w:rsidP="00D208B2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D208B2">
              <w:rPr>
                <w:rFonts w:ascii="Calibri" w:hAnsi="Calibri" w:cs="Arial"/>
                <w:lang w:bidi="ar-EG"/>
              </w:rPr>
              <w:lastRenderedPageBreak/>
              <w:t>Percentage of faculty</w:t>
            </w:r>
            <w:r>
              <w:rPr>
                <w:rFonts w:ascii="Calibri" w:hAnsi="Calibri" w:cs="Arial"/>
                <w:lang w:bidi="ar-EG"/>
              </w:rPr>
              <w:t xml:space="preserve"> members </w:t>
            </w:r>
            <w:r w:rsidRPr="00D208B2">
              <w:rPr>
                <w:rFonts w:ascii="Calibri" w:hAnsi="Calibri" w:cs="Arial"/>
                <w:lang w:bidi="ar-EG"/>
              </w:rPr>
              <w:t>who have left the program in the previous year for reasons other than retirement age.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D208B2">
              <w:rPr>
                <w:rFonts w:ascii="Calibri" w:hAnsi="Calibri" w:cs="Arial"/>
                <w:lang w:bidi="ar-EG"/>
              </w:rPr>
              <w:t>Satisfaction rate of faculty members from the FMS body and the adequacy of the available budget for the program</w:t>
            </w:r>
            <w:r>
              <w:rPr>
                <w:rFonts w:ascii="Calibri" w:hAnsi="Calibri" w:cs="Arial"/>
                <w:lang w:bidi="ar-EG"/>
              </w:rPr>
              <w:t xml:space="preserve"> (attached survey) 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D208B2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>Satisfaction ratio of faculty members and administrators for managing climate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 w:val="restart"/>
          </w:tcPr>
          <w:p w:rsid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B82E08">
              <w:rPr>
                <w:rFonts w:ascii="Calibri" w:hAnsi="Calibri" w:cs="Arial"/>
                <w:lang w:bidi="ar-EG"/>
              </w:rPr>
              <w:t>Satisfaction ratio of faculty members and administrators from the academic climate</w:t>
            </w: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B82E08" w:rsidRPr="00642D7C" w:rsidTr="00D208B2">
        <w:tc>
          <w:tcPr>
            <w:tcW w:w="6416" w:type="dxa"/>
            <w:vMerge/>
          </w:tcPr>
          <w:p w:rsidR="00B82E08" w:rsidRPr="00B82E08" w:rsidRDefault="00B82E08" w:rsidP="00B82E08">
            <w:pPr>
              <w:pStyle w:val="a6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0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B82E08" w:rsidRPr="00642D7C" w:rsidRDefault="00B82E08" w:rsidP="00B82E0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D208B2" w:rsidRPr="004831B5" w:rsidRDefault="00D208B2" w:rsidP="00D208B2">
      <w:pPr>
        <w:pStyle w:val="a6"/>
        <w:numPr>
          <w:ilvl w:val="0"/>
          <w:numId w:val="3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C57FBF" w:rsidRPr="00042A73" w:rsidRDefault="00C57FBF" w:rsidP="00B82E08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42A73">
        <w:rPr>
          <w:b/>
          <w:bCs/>
          <w:lang w:bidi="ar-EG"/>
        </w:rPr>
        <w:t>Proposals o</w:t>
      </w:r>
      <w:r w:rsidR="00B82E08" w:rsidRPr="00042A73">
        <w:rPr>
          <w:b/>
          <w:bCs/>
          <w:lang w:bidi="ar-EG"/>
        </w:rPr>
        <w:t>n the development of personnel p</w:t>
      </w:r>
      <w:r w:rsidRPr="00042A73">
        <w:rPr>
          <w:b/>
          <w:bCs/>
          <w:lang w:bidi="ar-EG"/>
        </w:rPr>
        <w:t xml:space="preserve">lan </w:t>
      </w:r>
    </w:p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8579" w:type="dxa"/>
        <w:tblInd w:w="-220" w:type="dxa"/>
        <w:tblLook w:val="04A0" w:firstRow="1" w:lastRow="0" w:firstColumn="1" w:lastColumn="0" w:noHBand="0" w:noVBand="1"/>
      </w:tblPr>
      <w:tblGrid>
        <w:gridCol w:w="3901"/>
        <w:gridCol w:w="2410"/>
        <w:gridCol w:w="2268"/>
      </w:tblGrid>
      <w:tr w:rsidR="00C57FBF" w:rsidTr="00C57FBF">
        <w:tc>
          <w:tcPr>
            <w:tcW w:w="3901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Summary of proposal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 xml:space="preserve">Person responsible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I</w:t>
            </w:r>
            <w:r w:rsidRPr="00C57FBF">
              <w:rPr>
                <w:lang w:bidi="ar-EG"/>
              </w:rPr>
              <w:t>mplementation period</w:t>
            </w:r>
          </w:p>
        </w:tc>
      </w:tr>
      <w:tr w:rsidR="00C57FBF" w:rsidTr="00C57FBF">
        <w:tc>
          <w:tcPr>
            <w:tcW w:w="3901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410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268" w:type="dxa"/>
          </w:tcPr>
          <w:p w:rsidR="00C57FBF" w:rsidRDefault="00C57FBF" w:rsidP="00C57FBF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C57FBF" w:rsidRDefault="00C57FBF" w:rsidP="00C57FBF">
      <w:pPr>
        <w:pStyle w:val="a6"/>
        <w:bidi w:val="0"/>
        <w:ind w:left="-220"/>
        <w:rPr>
          <w:lang w:bidi="ar-EG"/>
        </w:rPr>
      </w:pPr>
    </w:p>
    <w:p w:rsidR="00C57FBF" w:rsidRPr="00042A73" w:rsidRDefault="00C57FBF" w:rsidP="00042A73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42A73">
        <w:rPr>
          <w:b/>
          <w:bCs/>
          <w:lang w:bidi="ar-EG"/>
        </w:rPr>
        <w:t xml:space="preserve">Summary of website updates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86"/>
      </w:tblGrid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  <w:tr w:rsidR="001C6E5D" w:rsidTr="00C57FBF">
        <w:tc>
          <w:tcPr>
            <w:tcW w:w="562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  <w:tc>
          <w:tcPr>
            <w:tcW w:w="3586" w:type="dxa"/>
          </w:tcPr>
          <w:p w:rsidR="001C6E5D" w:rsidRDefault="001C6E5D" w:rsidP="00C57FBF">
            <w:pPr>
              <w:bidi w:val="0"/>
              <w:rPr>
                <w:lang w:bidi="ar-EG"/>
              </w:rPr>
            </w:pPr>
          </w:p>
        </w:tc>
      </w:tr>
    </w:tbl>
    <w:p w:rsidR="003E0C46" w:rsidRDefault="003E0C46" w:rsidP="001C6E5D">
      <w:pPr>
        <w:bidi w:val="0"/>
        <w:rPr>
          <w:lang w:bidi="ar-EG"/>
        </w:rPr>
      </w:pPr>
    </w:p>
    <w:p w:rsidR="00EB38DB" w:rsidRPr="000F4565" w:rsidRDefault="00EB38DB" w:rsidP="00EB38DB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EB38DB" w:rsidTr="00A403D1">
        <w:tc>
          <w:tcPr>
            <w:tcW w:w="2904" w:type="dxa"/>
          </w:tcPr>
          <w:p w:rsidR="00EB38DB" w:rsidRPr="000F4565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 w:val="restart"/>
          </w:tcPr>
          <w:p w:rsidR="00EB38DB" w:rsidRPr="000F4565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EB38DB" w:rsidRPr="00FC0E30" w:rsidRDefault="00EB38DB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EB38DB" w:rsidRPr="00FC0E30" w:rsidRDefault="00EB38DB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3617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 w:val="restart"/>
          </w:tcPr>
          <w:p w:rsidR="00EB38DB" w:rsidRPr="00FC0E30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EB38DB" w:rsidRPr="00C007F5" w:rsidRDefault="00EB38DB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EB38DB" w:rsidRPr="00C007F5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EB38DB" w:rsidTr="00A403D1">
        <w:tc>
          <w:tcPr>
            <w:tcW w:w="2904" w:type="dxa"/>
            <w:vMerge/>
          </w:tcPr>
          <w:p w:rsidR="00EB38DB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EB38DB" w:rsidRPr="009F1638" w:rsidRDefault="00EB38DB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EB38DB" w:rsidRDefault="00EB38DB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EB38DB" w:rsidRDefault="00EB38DB" w:rsidP="00EB38DB">
      <w:pPr>
        <w:pStyle w:val="a6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EB38DB" w:rsidTr="00A403D1">
        <w:tc>
          <w:tcPr>
            <w:tcW w:w="4751" w:type="dxa"/>
          </w:tcPr>
          <w:p w:rsidR="00EB38DB" w:rsidRPr="00F34235" w:rsidRDefault="00EB38DB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EB38DB" w:rsidTr="00A403D1">
        <w:tc>
          <w:tcPr>
            <w:tcW w:w="4751" w:type="dxa"/>
          </w:tcPr>
          <w:p w:rsidR="00EB38DB" w:rsidRPr="00A227D9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EB38DB" w:rsidRPr="00A227D9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EB38DB" w:rsidRPr="00A227D9" w:rsidRDefault="00EB38DB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EB38DB" w:rsidTr="00A403D1">
        <w:tc>
          <w:tcPr>
            <w:tcW w:w="4751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EB38DB" w:rsidRDefault="00EB38DB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EB38DB" w:rsidRPr="00A227D9" w:rsidRDefault="00EB38DB" w:rsidP="00EB38DB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p w:rsidR="00EB38DB" w:rsidRPr="005816D0" w:rsidRDefault="00EB38DB" w:rsidP="00EB38DB">
      <w:pPr>
        <w:rPr>
          <w:rtl/>
          <w:lang w:bidi="ar-EG"/>
        </w:rPr>
      </w:pPr>
    </w:p>
    <w:p w:rsidR="002918D6" w:rsidRDefault="002918D6" w:rsidP="002918D6">
      <w:pPr>
        <w:bidi w:val="0"/>
        <w:rPr>
          <w:lang w:bidi="ar-EG"/>
        </w:rPr>
      </w:pPr>
    </w:p>
    <w:p w:rsidR="00EB38DB" w:rsidRDefault="00EB38DB" w:rsidP="00EB38DB">
      <w:pPr>
        <w:bidi w:val="0"/>
        <w:rPr>
          <w:rtl/>
          <w:lang w:bidi="ar-EG"/>
        </w:rPr>
      </w:pPr>
    </w:p>
    <w:sectPr w:rsidR="00EB38DB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E5" w:rsidRDefault="005E19E5" w:rsidP="00FE2CF1">
      <w:pPr>
        <w:spacing w:after="0" w:line="240" w:lineRule="auto"/>
      </w:pPr>
      <w:r>
        <w:separator/>
      </w:r>
    </w:p>
  </w:endnote>
  <w:endnote w:type="continuationSeparator" w:id="0">
    <w:p w:rsidR="005E19E5" w:rsidRDefault="005E19E5" w:rsidP="00FE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3" w:rsidRDefault="00042A73" w:rsidP="00042A73">
    <w:pPr>
      <w:pStyle w:val="a5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 xml:space="preserve">PC_C_03                                                          </w:t>
    </w:r>
    <w:sdt>
      <w:sdtPr>
        <w:id w:val="3414442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260" w:rsidRPr="00A3126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C6E5D" w:rsidRDefault="001C6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E5" w:rsidRDefault="005E19E5" w:rsidP="00FE2CF1">
      <w:pPr>
        <w:spacing w:after="0" w:line="240" w:lineRule="auto"/>
      </w:pPr>
      <w:r>
        <w:separator/>
      </w:r>
    </w:p>
  </w:footnote>
  <w:footnote w:type="continuationSeparator" w:id="0">
    <w:p w:rsidR="005E19E5" w:rsidRDefault="005E19E5" w:rsidP="00FE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06BCF228" wp14:editId="19A28A07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B95E971" wp14:editId="11293EB0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5E971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56A6F9" wp14:editId="755091C5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E2CF1" w:rsidRPr="00392B55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6A6F9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E2CF1" w:rsidRPr="00392B55" w:rsidRDefault="00FE2CF1" w:rsidP="00FE2CF1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E2CF1" w:rsidRDefault="00FE2CF1" w:rsidP="00FE2CF1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E2CF1" w:rsidRPr="002946AE" w:rsidRDefault="00FE2CF1" w:rsidP="00FE2CF1">
    <w:pPr>
      <w:pStyle w:val="a4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F52163" wp14:editId="0D0E9F52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81B1F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502C3CA" wp14:editId="561DDC4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E2CF1" w:rsidRDefault="00FE2CF1" w:rsidP="00FE2CF1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2C3CA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E2CF1" w:rsidRDefault="00FE2CF1" w:rsidP="00FE2CF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E2CF1" w:rsidRDefault="00FE2CF1" w:rsidP="00FE2CF1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FE2CF1" w:rsidRDefault="00FE2CF1" w:rsidP="00FE2CF1">
    <w:pPr>
      <w:pStyle w:val="a4"/>
      <w:rPr>
        <w:lang w:bidi="ar-EG"/>
      </w:rPr>
    </w:pPr>
  </w:p>
  <w:p w:rsidR="00FE2CF1" w:rsidRDefault="00FE2C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042A73"/>
    <w:rsid w:val="001C6E5D"/>
    <w:rsid w:val="00213CF8"/>
    <w:rsid w:val="002918D6"/>
    <w:rsid w:val="00302509"/>
    <w:rsid w:val="00315A17"/>
    <w:rsid w:val="003B6523"/>
    <w:rsid w:val="003E0C46"/>
    <w:rsid w:val="004074E8"/>
    <w:rsid w:val="00423E95"/>
    <w:rsid w:val="00502D7D"/>
    <w:rsid w:val="005A2B35"/>
    <w:rsid w:val="005E19E5"/>
    <w:rsid w:val="00612C68"/>
    <w:rsid w:val="006833C6"/>
    <w:rsid w:val="007106AB"/>
    <w:rsid w:val="007A0C2D"/>
    <w:rsid w:val="0080179C"/>
    <w:rsid w:val="00855500"/>
    <w:rsid w:val="008A6472"/>
    <w:rsid w:val="009252BC"/>
    <w:rsid w:val="00977C8E"/>
    <w:rsid w:val="00A31260"/>
    <w:rsid w:val="00AF39A2"/>
    <w:rsid w:val="00B82E08"/>
    <w:rsid w:val="00BA21B9"/>
    <w:rsid w:val="00C57FBF"/>
    <w:rsid w:val="00D208B2"/>
    <w:rsid w:val="00D51FF8"/>
    <w:rsid w:val="00DB0778"/>
    <w:rsid w:val="00EB38DB"/>
    <w:rsid w:val="00EC1FFC"/>
    <w:rsid w:val="00F80B4F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7A08DD-34AB-4EC6-BF39-DB3FDD5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F"/>
    <w:pPr>
      <w:bidi/>
    </w:pPr>
  </w:style>
  <w:style w:type="paragraph" w:styleId="1">
    <w:name w:val="heading 1"/>
    <w:basedOn w:val="a"/>
    <w:next w:val="a"/>
    <w:link w:val="1Char"/>
    <w:qFormat/>
    <w:rsid w:val="00FE2CF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E2CF1"/>
  </w:style>
  <w:style w:type="paragraph" w:styleId="a5">
    <w:name w:val="footer"/>
    <w:basedOn w:val="a"/>
    <w:link w:val="Char0"/>
    <w:uiPriority w:val="99"/>
    <w:unhideWhenUsed/>
    <w:rsid w:val="00FE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E2CF1"/>
  </w:style>
  <w:style w:type="character" w:customStyle="1" w:styleId="1Char">
    <w:name w:val="عنوان 1 Char"/>
    <w:basedOn w:val="a0"/>
    <w:link w:val="1"/>
    <w:rsid w:val="00FE2C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6">
    <w:name w:val="List Paragraph"/>
    <w:basedOn w:val="a"/>
    <w:uiPriority w:val="34"/>
    <w:qFormat/>
    <w:rsid w:val="00FE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2017-11-07T14:08:00Z</dcterms:created>
  <dcterms:modified xsi:type="dcterms:W3CDTF">2017-11-07T14:08:00Z</dcterms:modified>
</cp:coreProperties>
</file>